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登录报名网址：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CFCFC"/>
        </w:rPr>
        <w:fldChar w:fldCharType="begin"/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CFCFC"/>
        </w:rPr>
        <w:instrText xml:space="preserve"> HYPERLINK "http://ntce.neea.edu.cn/" </w:instrTex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CFCFC"/>
        </w:rPr>
        <w:fldChar w:fldCharType="separate"/>
      </w:r>
      <w:r>
        <w:rPr>
          <w:rStyle w:val="5"/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CFCFC"/>
        </w:rPr>
        <w:t>http://ntce.neea.edu.cn/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CFCFC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textAlignment w:val="top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CFCFC"/>
        </w:rPr>
        <w:drawing>
          <wp:inline distT="0" distB="0" distL="114300" distR="114300">
            <wp:extent cx="4133850" cy="7419975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125F"/>
    <w:rsid w:val="11E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2021-08-11T10:59:00Z</dcterms:created>
  <dc:creator>lenovo</dc:creator>
  <cp:lastModifiedBy>lenovo</cp:lastModifiedBy>
  <dcterms:modified xsi:type="dcterms:W3CDTF">2021-08-11T11:00:06Z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F1C3652C7D2B450597445844A0A162E0</vt:lpwstr>
  </property>
</Properties>
</file>